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Retribuciones 2023-2027</w:t>
      </w:r>
    </w:p>
    <w:tbl>
      <w:tblGrid>
        <w:gridCol w:w="276100" w:type="dxa"/>
        <w:gridCol w:w="273600" w:type="dxa"/>
        <w:gridCol w:w="162900" w:type="dxa"/>
        <w:gridCol w:w="2595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Concejalias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Importe Burto Anual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 Alcalde-Presidente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Seguridad Ciudadana, Relaciones Institucionales, Presidencia y Cultura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49.000,00 €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 Primer Teniente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42.000,00 €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Segunda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Recursos Humanos y Organización, Secretaría, Servicios Jurídicos, Estadística y Salud Pública.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Tercer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Fiestas de Barrios, Participación Ciudadana, Patrimonio Municipal y Mercadillo.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Cuarta Teniente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Vías y Obras, Movilidad (Tráfico y Transporte), Turismo, Patrimonio Histórico y Bienestar Animal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38.999,94 €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Quinta Teniente de Alcalde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Hacienda y Contratación, Fomento y Comercio, Desarrollo Local y Empleo.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(95%)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37.050,44 €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Festejos Municipales, Comunicación y Universidad Popular.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Aguas, Alcantarillado y Recursos Hídricos, Nuevas Tecnologías, Educación, Deportes y Juventud e Infancia.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Parques y Jardines, Alumbrado Público y Cementerio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Desarrollo Rural, Medio Ambiente, Limpieza Viaria y Recogida de Residuos, Servicios Sociales, Solidaridad, Igualdad y Diversidad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276100" w:type="pct"/>
            <w:vAlign w:val="center"/>
          </w:tcPr>
          <w:p>
            <w:pPr>
              <w:jc w:val="center"/>
            </w:pPr>
            <w:r>
              <w:rPr/>
              <w:t xml:space="preserve">Concejal Delegado/a</w:t>
            </w:r>
          </w:p>
        </w:tc>
        <w:tc>
          <w:tcPr>
            <w:tcW w:w="273600" w:type="pct"/>
            <w:vAlign w:val="center"/>
          </w:tcPr>
          <w:p>
            <w:pPr>
              <w:jc w:val="center"/>
            </w:pPr>
            <w:r>
              <w:rPr/>
              <w:t xml:space="preserve">Mayores, Consumo, Juzgado de Paz, Vivienda y Artesanía.</w:t>
            </w:r>
          </w:p>
        </w:tc>
        <w:tc>
          <w:tcPr>
            <w:tcW w:w="162900" w:type="pct"/>
            <w:vAlign w:val="center"/>
          </w:tcPr>
          <w:p>
            <w:pPr>
              <w:jc w:val="center"/>
            </w:pPr>
            <w:r>
              <w:rPr/>
              <w:t xml:space="preserve">Parcial (90%)</w:t>
            </w:r>
          </w:p>
        </w:tc>
        <w:tc>
          <w:tcPr>
            <w:tcW w:w="259550" w:type="pct"/>
            <w:vAlign w:val="center"/>
          </w:tcPr>
          <w:p>
            <w:pPr>
              <w:jc w:val="center"/>
            </w:pPr>
            <w:r>
              <w:rPr/>
              <w:t xml:space="preserve">35.099,96 €</w:t>
            </w:r>
          </w:p>
        </w:tc>
      </w:tr>
      <w:tr>
        <w:trPr/>
        <w:tc>
          <w:tcPr>
            <w:tcW w:w="472200" w:type="pct"/>
            <w:vAlign w:val="center"/>
            <w:gridSpan w:val="4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pStyle w:val="Heading4"/>
      </w:pPr>
      <w:r>
        <w:rPr/>
        <w:t xml:space="preserve">Asignaciones económicas miembros corporativos</w:t>
      </w:r>
    </w:p>
    <w:tbl>
      <w:tblGrid>
        <w:gridCol w:w="375900" w:type="dxa"/>
        <w:gridCol w:w="138600" w:type="dxa"/>
        <w:gridCol w:w="4240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10-07-2025 Asignaciones económicas miembros corporativos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22-05-2025 Asignaciones económicas miembros corporativos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26-09-2024 Asignaciones Económicas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600" w:type="pct"/>
            <w:vAlign w:val="center"/>
          </w:tcPr>
          <w:p>
            <w:pPr>
              <w:jc w:val="center"/>
            </w:pPr>
            <w:r>
              <w:rPr/>
              <w:t xml:space="preserve">Certificado Pleno 22-06-2023 Asignaciones Económicas Concejales</w:t>
            </w:r>
          </w:p>
        </w:tc>
        <w:tc>
          <w:tcPr>
            <w:tcW w:w="42400" w:type="pct"/>
            <w:vAlign w:val="center"/>
          </w:tcPr>
          <w:p>
            <w:pPr>
              <w:jc w:val="center"/>
            </w:pPr>
          </w:p>
        </w:tc>
      </w:tr>
    </w:tbl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Indemnizaciones percibidas con ocasión del abandono del cargo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5.1 Miembros electos, titulares de los órganos de gobierno, altos cargos o asimilados y titulares de los órganos superiores y directivos de la entidad/1050 Indemnizaciones percibidas con ocasión del abandono del cargo el Ilustre. Ayuntamiento de Teror, pone en conocimiento de la ciudadanía de Teror y del público en general, que en el ejercicio 2023, el Ayuntamiento no cuenta con Indemnizaciones percibidas con ocasión del abandono del cargo.</w:t>
      </w:r>
    </w:p>
    <w:tbl>
      <w:tblGrid>
        <w:gridCol w:w="66900" w:type="dxa"/>
        <w:gridCol w:w="43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66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36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2026-10-22T21:03:58+00:00</dcterms:created>
  <dcterms:modified xsi:type="dcterms:W3CDTF">2026-10-22T21:03:58+00:00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