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>
        <w:jc w:val="both"/>
      </w:pPr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“Terór”</w:t>
      </w:r>
      <w:r>
        <w:rPr/>
        <w:t xml:space="preserve"> en organización contratante. Se desplegarán dos perfiles:</w:t>
      </w:r>
    </w:p>
    <w:p>
      <w:pPr>
        <w:jc w:val="both"/>
      </w:pPr>
      <w:r>
        <w:rPr/>
        <w:t xml:space="preserve">  </w:t>
      </w:r>
    </w:p>
    <w:p>
      <w:pPr>
        <w:jc w:val="both"/>
      </w:pPr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>
        <w:jc w:val="both"/>
      </w:pPr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>
        <w:jc w:val="both"/>
      </w:pPr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2026-10-22T21:02:01+00:00</dcterms:created>
  <dcterms:modified xsi:type="dcterms:W3CDTF">2026-10-22T21:02:01+00:00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