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jc w:val="both"/>
        <w:ind w:left="0" w:right="0" w:firstLine="708"/>
      </w:pPr>
      <w:r>
        <w:rPr/>
        <w:t xml:space="preserve">Al objeto de dar cumplimiento a los Indicadores de la Ley Canaria de Transparencia y de acceso a la información pública (Ley 12/2014, de 26 de diciembre) en su apartado 1178. Concesiones efectuadas relativas al contenido de los contratos, el Ayuntamiento de Teror pone en conocimiento de la ciudadanía del municipio y del público en general que no hubo concesiones de servicio durante los ejercicios 2023, 2024 y 2025.</w:t>
      </w:r>
    </w:p>
    <w:tbl>
      <w:tblGrid>
        <w:gridCol w:w="350" w:type="dxa"/>
        <w:gridCol w:w="7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7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Concesiones de servicio 2025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Concesiones de servicio 2024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Concesiones de servicio 2023</w:t>
            </w:r>
          </w:p>
        </w:tc>
        <w:tc>
          <w:tcPr>
            <w:tcW w:w="76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2026-10-22T21:01:26+00:00</dcterms:created>
  <dcterms:modified xsi:type="dcterms:W3CDTF">2026-10-22T21:01:26+00:00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