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1143. Preguntas frecuentes y aclaraciones relativas al contenido de los contratos, el Ayuntamiento de Teror pone en conocimiento de la ciudadanía del municipio y del público en general que las preguntas y dudas que se plantean a cada licitación son objeto de contestación a través de la Plataforma de Contratación del Sector Público conforme lo señalado en el art. 138 de la Ley de Contratos del Sector Público. </w:t>
      </w:r>
      <w:r>
        <w:rPr>
          <w:b w:val="1"/>
          <w:bCs w:val="1"/>
        </w:rPr>
        <w:t xml:space="preserve">Y que no existen preguntas frecuentes sobre el contenido de los contratos en el ejercicio de 2025. </w:t>
      </w:r>
    </w:p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2023</w:t>
            </w:r>
          </w:p>
        </w:tc>
        <w:tc>
          <w:tcPr>
            <w:tcW w:w="7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2026-10-22T21:05:04+00:00</dcterms:created>
  <dcterms:modified xsi:type="dcterms:W3CDTF">2026-10-22T21:05:04+00:00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