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2: Organizativa, concretamente el subapartado “1026 - Unidades administrativas a nivel de servicio, especificando responsable y funciones” el Iltre. Ayuntamiento de Teror, pone en conocimiento de la ciudadanía y del público en general, que la estructura organizativa del Ayuntamiento queda como sigue: </w:t>
      </w:r>
    </w:p>
    <w:tbl>
      <w:tblGrid>
        <w:gridCol w:w="476250" w:type="dxa"/>
        <w:gridCol w:w="476250" w:type="dxa"/>
        <w:gridCol w:w="7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2023-2024</w:t>
            </w:r>
          </w:p>
        </w:tc>
        <w:tc>
          <w:tcPr>
            <w:tcW w:w="476250" w:type="pct"/>
            <w:vAlign w:val="center"/>
          </w:tcPr>
          <w:p>
            <w:pPr>
              <w:jc w:val="center"/>
            </w:pPr>
            <w:r>
              <w:rPr/>
              <w:t xml:space="preserve">Unidades administrativas a nivel de servicio especificando responsable y funciones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2026-10-22T21:02:01+00:00</dcterms:created>
  <dcterms:modified xsi:type="dcterms:W3CDTF">2026-10-22T21:02:01+00:00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