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70700" w:type="dxa"/>
        <w:gridCol w:w="252950" w:type="dxa"/>
        <w:gridCol w:w="1254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70700" w:type="pct"/>
            <w:vAlign w:val="center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25295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1254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70700" w:type="pct"/>
            <w:vAlign w:val="center"/>
          </w:tcPr>
          <w:p>
            <w:pPr>
              <w:jc w:val="center"/>
            </w:pPr>
            <w:r>
              <w:rPr/>
              <w:t xml:space="preserve">19/04/2024</w:t>
            </w:r>
          </w:p>
        </w:tc>
        <w:tc>
          <w:tcPr>
            <w:tcW w:w="252950" w:type="pct"/>
            <w:vAlign w:val="center"/>
          </w:tcPr>
          <w:p>
            <w:pPr>
              <w:jc w:val="center"/>
            </w:pPr>
            <w:r>
              <w:rPr/>
              <w:t xml:space="preserve">Documento de Alcance del PEPCH</w:t>
            </w:r>
          </w:p>
        </w:tc>
        <w:tc>
          <w:tcPr>
            <w:tcW w:w="1254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2026-10-22T21:03:58+00:00</dcterms:created>
  <dcterms:modified xsi:type="dcterms:W3CDTF">2026-10-22T21:03:58+00:00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